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BE31" w14:textId="01C4279E" w:rsidR="003D33A7" w:rsidRPr="003D33A7" w:rsidRDefault="003D33A7" w:rsidP="003D33A7"/>
    <w:p w14:paraId="219D4F52" w14:textId="77777777" w:rsidR="003D33A7" w:rsidRPr="001E7D94" w:rsidRDefault="003D33A7" w:rsidP="003D33A7">
      <w:pPr>
        <w:rPr>
          <w:sz w:val="28"/>
          <w:szCs w:val="28"/>
        </w:rPr>
      </w:pPr>
      <w:r w:rsidRPr="001E7D94">
        <w:rPr>
          <w:b/>
          <w:bCs/>
          <w:sz w:val="28"/>
          <w:szCs w:val="28"/>
        </w:rPr>
        <w:t xml:space="preserve">Stellungnahme des StFA des Deutschen Nautischen Vereins </w:t>
      </w:r>
    </w:p>
    <w:p w14:paraId="2AF8B762" w14:textId="77777777" w:rsidR="003D33A7" w:rsidRPr="001E7D94" w:rsidRDefault="003D33A7" w:rsidP="003D33A7">
      <w:pPr>
        <w:rPr>
          <w:b/>
          <w:bCs/>
          <w:sz w:val="24"/>
          <w:szCs w:val="24"/>
        </w:rPr>
      </w:pPr>
      <w:r w:rsidRPr="001E7D94">
        <w:rPr>
          <w:b/>
          <w:bCs/>
          <w:sz w:val="24"/>
          <w:szCs w:val="24"/>
        </w:rPr>
        <w:t xml:space="preserve">Vereinheitlichung der internationalen Regeln für elektronische Logbücher </w:t>
      </w:r>
    </w:p>
    <w:p w14:paraId="22A00617" w14:textId="77777777" w:rsidR="003D33A7" w:rsidRDefault="003D33A7" w:rsidP="003D33A7">
      <w:r w:rsidRPr="003D33A7">
        <w:t xml:space="preserve">Die Regeln für elektronische Logbücher auf Seeschiffen sind von Flagge zu Flagge unterschiedlich und unterliegen verschiedener Interpretationen. </w:t>
      </w:r>
      <w:r>
        <w:t xml:space="preserve">Formale und inhaltliche Vorgaben finden sich für papiergebundene und elektronisch geführte Logbücher in SOLAS V/28 und in </w:t>
      </w:r>
      <w:r w:rsidRPr="003D33A7">
        <w:t>Resolution A916(22)</w:t>
      </w:r>
      <w:r>
        <w:t>. Ein Verfahren zur Zulassung oder technische Vorgaben ergeben sich nicht aus diesen Regeln.</w:t>
      </w:r>
    </w:p>
    <w:p w14:paraId="701671E0" w14:textId="77777777" w:rsidR="003D33A7" w:rsidRPr="003D33A7" w:rsidRDefault="003D33A7" w:rsidP="003D33A7">
      <w:r w:rsidRPr="003D33A7">
        <w:t xml:space="preserve">Es existieren </w:t>
      </w:r>
      <w:r w:rsidR="00693C3C">
        <w:t>verschiedene</w:t>
      </w:r>
      <w:r w:rsidRPr="003D33A7">
        <w:t xml:space="preserve"> technische Vorgaben für elektronische Tagebücher</w:t>
      </w:r>
      <w:r w:rsidR="00693C3C">
        <w:t xml:space="preserve"> und Regularien, aus denen sich Vorgaben für elektronische Logbücher ergeben</w:t>
      </w:r>
      <w:r w:rsidRPr="003D33A7">
        <w:t xml:space="preserve">: </w:t>
      </w:r>
    </w:p>
    <w:p w14:paraId="281B9031" w14:textId="77777777" w:rsidR="003D33A7" w:rsidRPr="003D33A7" w:rsidRDefault="003D33A7" w:rsidP="003D33A7">
      <w:pPr>
        <w:pStyle w:val="Listenabsatz"/>
        <w:numPr>
          <w:ilvl w:val="0"/>
          <w:numId w:val="2"/>
        </w:numPr>
        <w:rPr>
          <w:lang w:val="en-GB"/>
        </w:rPr>
      </w:pPr>
      <w:r w:rsidRPr="003D33A7">
        <w:rPr>
          <w:lang w:val="en-GB"/>
        </w:rPr>
        <w:t>ISO 21745 ("Electronic record books for ships - Technical specifications and operational requirements")</w:t>
      </w:r>
    </w:p>
    <w:p w14:paraId="44777E58" w14:textId="77777777" w:rsidR="003D33A7" w:rsidRDefault="003D33A7" w:rsidP="003D33A7">
      <w:pPr>
        <w:pStyle w:val="Listenabsatz"/>
        <w:numPr>
          <w:ilvl w:val="0"/>
          <w:numId w:val="2"/>
        </w:numPr>
      </w:pPr>
      <w:r w:rsidRPr="003D33A7">
        <w:t xml:space="preserve">für MARPOL-Tagebücher: die „Richtlinien für die Verwendung elektronischer Tagebücher im Rahmen von MARPOL" (MEPC.312(74)) 17.05.2019). </w:t>
      </w:r>
    </w:p>
    <w:p w14:paraId="3736C7F1" w14:textId="77777777" w:rsidR="00693C3C" w:rsidRDefault="00693C3C" w:rsidP="003D33A7">
      <w:pPr>
        <w:pStyle w:val="Listenabsatz"/>
        <w:numPr>
          <w:ilvl w:val="0"/>
          <w:numId w:val="2"/>
        </w:numPr>
        <w:rPr>
          <w:lang w:val="en-GB"/>
        </w:rPr>
      </w:pPr>
      <w:r w:rsidRPr="00693C3C">
        <w:rPr>
          <w:lang w:val="en-GB"/>
        </w:rPr>
        <w:t xml:space="preserve">PPR 4/16 </w:t>
      </w:r>
      <w:r>
        <w:rPr>
          <w:lang w:val="en-GB"/>
        </w:rPr>
        <w:t>(“</w:t>
      </w:r>
      <w:r w:rsidRPr="00693C3C">
        <w:rPr>
          <w:lang w:val="en-GB"/>
        </w:rPr>
        <w:t xml:space="preserve">Use of Electronic </w:t>
      </w:r>
      <w:r>
        <w:rPr>
          <w:lang w:val="en-GB"/>
        </w:rPr>
        <w:t>Record Books”) 12.10.2016</w:t>
      </w:r>
    </w:p>
    <w:p w14:paraId="4BA13773" w14:textId="77777777" w:rsidR="00693C3C" w:rsidRDefault="00693C3C" w:rsidP="003D33A7">
      <w:pPr>
        <w:pStyle w:val="Listenabsatz"/>
        <w:numPr>
          <w:ilvl w:val="0"/>
          <w:numId w:val="2"/>
        </w:numPr>
        <w:rPr>
          <w:lang w:val="en-GB"/>
        </w:rPr>
      </w:pPr>
      <w:r w:rsidRPr="00693C3C">
        <w:rPr>
          <w:lang w:val="en-GB"/>
        </w:rPr>
        <w:t>MSC. 333 (90) (</w:t>
      </w:r>
      <w:r>
        <w:rPr>
          <w:lang w:val="en-GB"/>
        </w:rPr>
        <w:t>“Adoption of Revised Performance Standards for Shipborne Voyage Data Recorders (VDR)”) 22.05.2012</w:t>
      </w:r>
    </w:p>
    <w:p w14:paraId="02D91AE3" w14:textId="77777777" w:rsidR="00693C3C" w:rsidRPr="00693C3C" w:rsidRDefault="00693C3C" w:rsidP="00693C3C">
      <w:pPr>
        <w:pStyle w:val="Listenabsatz"/>
        <w:numPr>
          <w:ilvl w:val="0"/>
          <w:numId w:val="2"/>
        </w:numPr>
        <w:rPr>
          <w:lang w:val="en-GB"/>
        </w:rPr>
      </w:pPr>
      <w:r w:rsidRPr="00693C3C">
        <w:rPr>
          <w:lang w:val="en-GB"/>
        </w:rPr>
        <w:t xml:space="preserve">IMO Resolution MSC.302(87) </w:t>
      </w:r>
      <w:r>
        <w:rPr>
          <w:lang w:val="en-GB"/>
        </w:rPr>
        <w:t>“</w:t>
      </w:r>
      <w:r w:rsidRPr="00693C3C">
        <w:rPr>
          <w:lang w:val="en-GB"/>
        </w:rPr>
        <w:t>Performance standards for Bridge Alert Management</w:t>
      </w:r>
      <w:r>
        <w:rPr>
          <w:lang w:val="en-GB"/>
        </w:rPr>
        <w:t>”</w:t>
      </w:r>
      <w:r w:rsidRPr="00693C3C">
        <w:rPr>
          <w:lang w:val="en-GB"/>
        </w:rPr>
        <w:t xml:space="preserve"> </w:t>
      </w:r>
    </w:p>
    <w:p w14:paraId="5DE91D5A" w14:textId="77777777" w:rsidR="00693C3C" w:rsidRDefault="00693C3C" w:rsidP="00EB368E">
      <w:pPr>
        <w:pStyle w:val="Listenabsatz"/>
        <w:numPr>
          <w:ilvl w:val="0"/>
          <w:numId w:val="2"/>
        </w:numPr>
        <w:rPr>
          <w:lang w:val="en-GB"/>
        </w:rPr>
      </w:pPr>
      <w:r w:rsidRPr="00693C3C">
        <w:rPr>
          <w:lang w:val="en-GB"/>
        </w:rPr>
        <w:t>IMO Resolution A.694(17) “General requirements for shipborne radio equipment forming part of the global</w:t>
      </w:r>
      <w:r>
        <w:rPr>
          <w:lang w:val="en-GB"/>
        </w:rPr>
        <w:t xml:space="preserve"> </w:t>
      </w:r>
      <w:r w:rsidRPr="00693C3C">
        <w:rPr>
          <w:lang w:val="en-GB"/>
        </w:rPr>
        <w:t>maritime distress and safety system (GMDSS) and for electronic navigational aids"</w:t>
      </w:r>
    </w:p>
    <w:p w14:paraId="5317E9F3" w14:textId="77777777" w:rsidR="003D33A7" w:rsidRPr="00457999" w:rsidRDefault="006B54DA" w:rsidP="003A7E38">
      <w:pPr>
        <w:pStyle w:val="Listenabsatz"/>
        <w:numPr>
          <w:ilvl w:val="0"/>
          <w:numId w:val="2"/>
        </w:numPr>
        <w:rPr>
          <w:lang w:val="en-GB"/>
        </w:rPr>
      </w:pPr>
      <w:proofErr w:type="spellStart"/>
      <w:r w:rsidRPr="00457999">
        <w:rPr>
          <w:lang w:val="en-GB"/>
        </w:rPr>
        <w:t>Eingabe</w:t>
      </w:r>
      <w:proofErr w:type="spellEnd"/>
      <w:r w:rsidRPr="00457999">
        <w:rPr>
          <w:lang w:val="en-GB"/>
        </w:rPr>
        <w:t xml:space="preserve"> </w:t>
      </w:r>
      <w:proofErr w:type="spellStart"/>
      <w:r w:rsidR="00665D31" w:rsidRPr="00457999">
        <w:rPr>
          <w:lang w:val="en-GB"/>
        </w:rPr>
        <w:t>zum</w:t>
      </w:r>
      <w:proofErr w:type="spellEnd"/>
      <w:r w:rsidR="00665D31" w:rsidRPr="00457999">
        <w:rPr>
          <w:lang w:val="en-GB"/>
        </w:rPr>
        <w:t xml:space="preserve"> </w:t>
      </w:r>
      <w:r w:rsidR="0091082A" w:rsidRPr="00457999">
        <w:rPr>
          <w:lang w:val="en-GB"/>
        </w:rPr>
        <w:t>Sub-Committee on Navigation, Communications and Search and Rescue, 10</w:t>
      </w:r>
      <w:r w:rsidR="0091082A" w:rsidRPr="00457999">
        <w:rPr>
          <w:vertAlign w:val="superscript"/>
          <w:lang w:val="en-GB"/>
        </w:rPr>
        <w:t>th</w:t>
      </w:r>
      <w:r w:rsidR="0091082A" w:rsidRPr="00457999">
        <w:rPr>
          <w:lang w:val="en-GB"/>
        </w:rPr>
        <w:t xml:space="preserve"> session, Agenda item 21, NCSR 10/21/6, 6 March 2023, Development of guidelines for the use of electronic record books under SOLAS regulation V/28</w:t>
      </w:r>
    </w:p>
    <w:p w14:paraId="57770178" w14:textId="77777777" w:rsidR="003D33A7" w:rsidRPr="003D33A7" w:rsidRDefault="003D33A7" w:rsidP="003D33A7">
      <w:r w:rsidRPr="003D33A7">
        <w:t xml:space="preserve">Diese sind jedoch weltweit nicht verpflichtend. Für Schiffe unter deutscher Flagge gilt die ISO 21745 für Schiffstagebücher und Maschinentagebücher und die MEPC.312(74) für MARPOL Tagebücher. Hersteller müssen eine Zulassung erwirken. </w:t>
      </w:r>
    </w:p>
    <w:p w14:paraId="0B802B8B" w14:textId="77777777" w:rsidR="0069501F" w:rsidRDefault="003D33A7" w:rsidP="003D33A7">
      <w:r w:rsidRPr="003D33A7">
        <w:t xml:space="preserve">Aus </w:t>
      </w:r>
      <w:proofErr w:type="spellStart"/>
      <w:r w:rsidRPr="003D33A7">
        <w:t>Reedersicht</w:t>
      </w:r>
      <w:proofErr w:type="spellEnd"/>
      <w:r w:rsidRPr="003D33A7">
        <w:t xml:space="preserve"> resultieren aus beiden Vorschriften unterschiedliche Verfahren: Für Schiffs- und Maschinentagebücher reicht die generelle Zulassung, für MARPO</w:t>
      </w:r>
      <w:r>
        <w:t>L</w:t>
      </w:r>
      <w:r w:rsidR="0069501F">
        <w:t xml:space="preserve"> </w:t>
      </w:r>
      <w:r w:rsidRPr="003D33A7">
        <w:t xml:space="preserve">Bücher </w:t>
      </w:r>
      <w:r w:rsidR="0069501F">
        <w:t>kann sowohl</w:t>
      </w:r>
      <w:r w:rsidRPr="003D33A7">
        <w:t xml:space="preserve"> eine schiffsspezifische Zulassung</w:t>
      </w:r>
      <w:r w:rsidR="0069501F">
        <w:t xml:space="preserve"> als auch eine Zulassung auf Grundlage der Zulassung durch den Hersteller als Grundlage für die Nutzung dienen.</w:t>
      </w:r>
      <w:r w:rsidRPr="003D33A7">
        <w:t xml:space="preserve"> </w:t>
      </w:r>
    </w:p>
    <w:p w14:paraId="4F1329E5" w14:textId="77777777" w:rsidR="003D33A7" w:rsidRPr="003D33A7" w:rsidRDefault="003D33A7" w:rsidP="003D33A7">
      <w:r w:rsidRPr="003D33A7">
        <w:t xml:space="preserve">Aus Herstellersicht sind zur Erfüllung der ISO 21745 Gerätevorgaben zu erfüllen Zur Erfüllung der MEPC.312(74) ist dies nicht notwendig. </w:t>
      </w:r>
      <w:r w:rsidR="0069501F">
        <w:t>Die</w:t>
      </w:r>
      <w:r w:rsidRPr="003D33A7">
        <w:t xml:space="preserve"> Gründe für den Unterschied</w:t>
      </w:r>
      <w:r w:rsidR="0069501F">
        <w:t xml:space="preserve"> sind</w:t>
      </w:r>
      <w:r w:rsidRPr="003D33A7">
        <w:t xml:space="preserve"> nicht nachvollziehbar und darüber hinaus kritisch zu bewerten. Die MEPC.312(74) fordert mangels Gerätevorgaben aus IT Sicht de facto ein geringeres Sicherheitsniveau als die ISO 21745.</w:t>
      </w:r>
      <w:r w:rsidR="0069501F">
        <w:t xml:space="preserve"> Für einen Reeder ist die Unterscheidung noch weniger nachvollziehbar.</w:t>
      </w:r>
    </w:p>
    <w:p w14:paraId="2D3B0B16" w14:textId="2330A517" w:rsidR="003D33A7" w:rsidRPr="003D33A7" w:rsidRDefault="003D33A7" w:rsidP="003D33A7">
      <w:r w:rsidRPr="003D33A7">
        <w:t xml:space="preserve">Andere Flaggen interpretieren die Vorgaben gänzlich anders. </w:t>
      </w:r>
      <w:r w:rsidRPr="001E7D94">
        <w:t xml:space="preserve">Liberia </w:t>
      </w:r>
      <w:r w:rsidR="00457999" w:rsidRPr="001E7D94">
        <w:t xml:space="preserve">und andere Flaggenstaaten </w:t>
      </w:r>
      <w:r w:rsidRPr="001E7D94">
        <w:t>verlang</w:t>
      </w:r>
      <w:r w:rsidR="00457999" w:rsidRPr="001E7D94">
        <w:t>en</w:t>
      </w:r>
      <w:r w:rsidRPr="003D33A7">
        <w:t xml:space="preserve"> eine Zulassung nach eigenem Regelwerk auf Basis der MEPC.312(74). Malta und UK geben sich mit einer Zulassung durch eine </w:t>
      </w:r>
      <w:proofErr w:type="spellStart"/>
      <w:r w:rsidRPr="003D33A7">
        <w:t>Recognized</w:t>
      </w:r>
      <w:proofErr w:type="spellEnd"/>
      <w:r w:rsidRPr="003D33A7">
        <w:t xml:space="preserve"> </w:t>
      </w:r>
      <w:proofErr w:type="spellStart"/>
      <w:r w:rsidRPr="003D33A7">
        <w:t>Organization</w:t>
      </w:r>
      <w:proofErr w:type="spellEnd"/>
      <w:r w:rsidRPr="003D33A7">
        <w:t xml:space="preserve"> zufrieden. Dänemark vergibt keine Zulassungen und übergibt die Pflicht dem Reeder über das ISM.</w:t>
      </w:r>
      <w:r w:rsidR="0069501F">
        <w:t xml:space="preserve"> Diese Variantenreichtum ist weder für Reeder, Bordpersonal noch Hersteller zufriedenstellend.</w:t>
      </w:r>
    </w:p>
    <w:p w14:paraId="4D251D1D" w14:textId="77777777" w:rsidR="003D33A7" w:rsidRPr="003D33A7" w:rsidRDefault="003D33A7" w:rsidP="003D33A7">
      <w:r w:rsidRPr="003D33A7">
        <w:t xml:space="preserve">Der kurze Abriss der Thematik zeigt das Problem für Schiffsbetreiber, Hersteller von Ausrüstung und Behörden deutlich. Für alle Beteiligten wäre eine einheitlich Regellage erstrebenswert. </w:t>
      </w:r>
    </w:p>
    <w:p w14:paraId="6F022197" w14:textId="77777777" w:rsidR="001E7D94" w:rsidRDefault="001E7D94" w:rsidP="003D33A7"/>
    <w:p w14:paraId="23DABE60" w14:textId="4228D224" w:rsidR="00994E8F" w:rsidRDefault="003D33A7" w:rsidP="003D33A7">
      <w:r w:rsidRPr="003D33A7">
        <w:t xml:space="preserve">Der </w:t>
      </w:r>
      <w:proofErr w:type="spellStart"/>
      <w:r w:rsidRPr="003D33A7">
        <w:t>StFA</w:t>
      </w:r>
      <w:proofErr w:type="spellEnd"/>
      <w:r w:rsidRPr="003D33A7">
        <w:t xml:space="preserve"> des </w:t>
      </w:r>
      <w:r w:rsidR="001E7D94">
        <w:t xml:space="preserve">Deutschen </w:t>
      </w:r>
      <w:r w:rsidRPr="003D33A7">
        <w:t>Nautischen Vereins empfiehlt, einen weltweit einheitlichen Test- und Performance Standard für elektronische Logbücher zu schaffen. Dort sollen einheitlich alle technischen und operativen Vorgaben für Schiffsbetreiber, Hersteller von Ausrüstung und Behörden für alle auf Schiffen notwendigen Tagebücher (log-/</w:t>
      </w:r>
      <w:proofErr w:type="spellStart"/>
      <w:r w:rsidRPr="003D33A7">
        <w:t>recordbooks</w:t>
      </w:r>
      <w:proofErr w:type="spellEnd"/>
      <w:r w:rsidRPr="003D33A7">
        <w:t>) niedergelegt sein. Grundlage dafür sind die ISO 21745 und die MEPC.312(74).</w:t>
      </w:r>
    </w:p>
    <w:p w14:paraId="18013907" w14:textId="7696C3A2" w:rsidR="001E7D94" w:rsidRDefault="001E7D94" w:rsidP="003D33A7">
      <w:r>
        <w:t>Hamburg, 06.06.2023</w:t>
      </w:r>
    </w:p>
    <w:sectPr w:rsidR="001E7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1213"/>
    <w:multiLevelType w:val="hybridMultilevel"/>
    <w:tmpl w:val="D0C320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D843CF"/>
    <w:multiLevelType w:val="hybridMultilevel"/>
    <w:tmpl w:val="9A227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5334">
    <w:abstractNumId w:val="0"/>
  </w:num>
  <w:num w:numId="2" w16cid:durableId="170270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A7"/>
    <w:rsid w:val="001E7D94"/>
    <w:rsid w:val="003D33A7"/>
    <w:rsid w:val="00457999"/>
    <w:rsid w:val="00665D31"/>
    <w:rsid w:val="00693C3C"/>
    <w:rsid w:val="0069501F"/>
    <w:rsid w:val="006B54DA"/>
    <w:rsid w:val="00744A73"/>
    <w:rsid w:val="0091082A"/>
    <w:rsid w:val="00994E8F"/>
    <w:rsid w:val="00C5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214B"/>
  <w15:chartTrackingRefBased/>
  <w15:docId w15:val="{5B5E521D-E47C-469E-920B-A3CD665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3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1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Wenzel</dc:creator>
  <cp:keywords/>
  <dc:description/>
  <cp:lastModifiedBy>csuhr1@gmx.de</cp:lastModifiedBy>
  <cp:revision>2</cp:revision>
  <dcterms:created xsi:type="dcterms:W3CDTF">2023-06-14T13:44:00Z</dcterms:created>
  <dcterms:modified xsi:type="dcterms:W3CDTF">2023-06-14T13:44:00Z</dcterms:modified>
</cp:coreProperties>
</file>